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D56844D" w14:paraId="297A906A" wp14:textId="155F07F4">
      <w:pPr>
        <w:pStyle w:val="Normal"/>
        <w:jc w:val="center"/>
      </w:pPr>
      <w:r w:rsidR="0E107ACF">
        <w:drawing>
          <wp:inline xmlns:wp14="http://schemas.microsoft.com/office/word/2010/wordprocessingDrawing" wp14:editId="424806C0" wp14:anchorId="172E1C45">
            <wp:extent cx="2847975" cy="493745"/>
            <wp:effectExtent l="0" t="0" r="0" b="0"/>
            <wp:docPr id="1091985323" name="" title=""/>
            <wp:cNvGraphicFramePr>
              <a:graphicFrameLocks noChangeAspect="1"/>
            </wp:cNvGraphicFramePr>
            <a:graphic>
              <a:graphicData uri="http://schemas.openxmlformats.org/drawingml/2006/picture">
                <pic:pic>
                  <pic:nvPicPr>
                    <pic:cNvPr id="0" name=""/>
                    <pic:cNvPicPr/>
                  </pic:nvPicPr>
                  <pic:blipFill>
                    <a:blip r:embed="Re17605aeed434218">
                      <a:extLst>
                        <a:ext xmlns:a="http://schemas.openxmlformats.org/drawingml/2006/main" uri="{28A0092B-C50C-407E-A947-70E740481C1C}">
                          <a14:useLocalDpi val="0"/>
                        </a:ext>
                      </a:extLst>
                    </a:blip>
                    <a:srcRect l="0" t="0" r="0" b="25925"/>
                    <a:stretch>
                      <a:fillRect/>
                    </a:stretch>
                  </pic:blipFill>
                  <pic:spPr>
                    <a:xfrm>
                      <a:off x="0" y="0"/>
                      <a:ext cx="2847975" cy="493745"/>
                    </a:xfrm>
                    <a:prstGeom prst="rect">
                      <a:avLst/>
                    </a:prstGeom>
                  </pic:spPr>
                </pic:pic>
              </a:graphicData>
            </a:graphic>
          </wp:inline>
        </w:drawing>
      </w:r>
    </w:p>
    <w:p xmlns:wp14="http://schemas.microsoft.com/office/word/2010/wordml" w:rsidP="2D56844D" w14:paraId="2C078E63" wp14:textId="0C002AE2">
      <w:pPr>
        <w:pStyle w:val="Normal"/>
        <w:jc w:val="center"/>
      </w:pPr>
      <w:r w:rsidR="0E107ACF">
        <w:drawing>
          <wp:inline xmlns:wp14="http://schemas.microsoft.com/office/word/2010/wordprocessingDrawing" wp14:editId="32610030" wp14:anchorId="286F19D8">
            <wp:extent cx="6334125" cy="2348904"/>
            <wp:effectExtent l="0" t="0" r="0" b="0"/>
            <wp:docPr id="270327314" name="" title=""/>
            <wp:cNvGraphicFramePr>
              <a:graphicFrameLocks noChangeAspect="1"/>
            </wp:cNvGraphicFramePr>
            <a:graphic>
              <a:graphicData uri="http://schemas.openxmlformats.org/drawingml/2006/picture">
                <pic:pic>
                  <pic:nvPicPr>
                    <pic:cNvPr id="0" name=""/>
                    <pic:cNvPicPr/>
                  </pic:nvPicPr>
                  <pic:blipFill>
                    <a:blip r:embed="R85262bf8a4f64653">
                      <a:extLst>
                        <a:ext xmlns:a="http://schemas.openxmlformats.org/drawingml/2006/main" uri="{28A0092B-C50C-407E-A947-70E740481C1C}">
                          <a14:useLocalDpi val="0"/>
                        </a:ext>
                      </a:extLst>
                    </a:blip>
                    <a:stretch>
                      <a:fillRect/>
                    </a:stretch>
                  </pic:blipFill>
                  <pic:spPr>
                    <a:xfrm>
                      <a:off x="0" y="0"/>
                      <a:ext cx="6334125" cy="2348904"/>
                    </a:xfrm>
                    <a:prstGeom prst="rect">
                      <a:avLst/>
                    </a:prstGeom>
                  </pic:spPr>
                </pic:pic>
              </a:graphicData>
            </a:graphic>
          </wp:inline>
        </w:drawing>
      </w:r>
    </w:p>
    <w:p w:rsidR="0E107ACF" w:rsidP="2D56844D" w:rsidRDefault="0E107ACF" w14:paraId="666764E8" w14:textId="4B9CBB3B">
      <w:pPr>
        <w:spacing w:line="450"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D56844D" w:rsidR="0E107ACF">
        <w:rPr>
          <w:rFonts w:ascii="Calibri" w:hAnsi="Calibri" w:eastAsia="Calibri" w:cs="Calibri"/>
          <w:b w:val="1"/>
          <w:bCs w:val="1"/>
          <w:i w:val="0"/>
          <w:iCs w:val="0"/>
          <w:caps w:val="0"/>
          <w:smallCaps w:val="0"/>
          <w:noProof w:val="0"/>
          <w:color w:val="000000" w:themeColor="text1" w:themeTint="FF" w:themeShade="FF"/>
          <w:sz w:val="24"/>
          <w:szCs w:val="24"/>
          <w:lang w:val="en-US"/>
        </w:rPr>
        <w:t>Sidley Austin</w:t>
      </w: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has welcomed </w:t>
      </w:r>
      <w:hyperlink r:id="Rc9f2c88fb9c3428b">
        <w:r w:rsidRPr="2D56844D" w:rsidR="0E107ACF">
          <w:rPr>
            <w:rStyle w:val="Hyperlink"/>
            <w:rFonts w:ascii="Calibri" w:hAnsi="Calibri" w:eastAsia="Calibri" w:cs="Calibri"/>
            <w:b w:val="1"/>
            <w:bCs w:val="1"/>
            <w:i w:val="0"/>
            <w:iCs w:val="0"/>
            <w:caps w:val="0"/>
            <w:smallCaps w:val="0"/>
            <w:strike w:val="0"/>
            <w:dstrike w:val="0"/>
            <w:noProof w:val="0"/>
            <w:sz w:val="24"/>
            <w:szCs w:val="24"/>
            <w:lang w:val="en-US"/>
          </w:rPr>
          <w:t>James Lu</w:t>
        </w:r>
      </w:hyperlink>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as a partner in the corporate practice in Century City. He was previously a partner at </w:t>
      </w:r>
      <w:r w:rsidRPr="2D56844D" w:rsidR="0E107ACF">
        <w:rPr>
          <w:rFonts w:ascii="Calibri" w:hAnsi="Calibri" w:eastAsia="Calibri" w:cs="Calibri"/>
          <w:b w:val="1"/>
          <w:bCs w:val="1"/>
          <w:i w:val="0"/>
          <w:iCs w:val="0"/>
          <w:caps w:val="0"/>
          <w:smallCaps w:val="0"/>
          <w:noProof w:val="0"/>
          <w:color w:val="000000" w:themeColor="text1" w:themeTint="FF" w:themeShade="FF"/>
          <w:sz w:val="24"/>
          <w:szCs w:val="24"/>
          <w:lang w:val="en-US"/>
        </w:rPr>
        <w:t>Cooley LLP</w:t>
      </w: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as well as co-founder of its Shanghai office and the head of its corporate practice. Lu focuses on representing leading companies and their venture capital and private equity investors, especially in the life sciences and technology sectors. He also has extensive experience advising clients on private and public securities offerings, mergers and acquisitions, joint ventures and other strategic transactions, especially cross-border transactions involving multiple jurisdictions.</w:t>
      </w:r>
    </w:p>
    <w:p w:rsidR="0E107ACF" w:rsidP="2D56844D" w:rsidRDefault="0E107ACF" w14:paraId="2EC03B60" w14:textId="4475DB61">
      <w:pPr>
        <w:spacing w:line="450"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6d49d54b54c4493f">
        <w:r w:rsidRPr="2D56844D" w:rsidR="0E107ACF">
          <w:rPr>
            <w:rStyle w:val="Hyperlink"/>
            <w:rFonts w:ascii="Calibri" w:hAnsi="Calibri" w:eastAsia="Calibri" w:cs="Calibri"/>
            <w:b w:val="1"/>
            <w:bCs w:val="1"/>
            <w:i w:val="0"/>
            <w:iCs w:val="0"/>
            <w:caps w:val="0"/>
            <w:smallCaps w:val="0"/>
            <w:strike w:val="0"/>
            <w:dstrike w:val="0"/>
            <w:noProof w:val="0"/>
            <w:sz w:val="24"/>
            <w:szCs w:val="24"/>
            <w:lang w:val="en-US"/>
          </w:rPr>
          <w:t>Hailey Lennon</w:t>
        </w:r>
      </w:hyperlink>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has recently joined </w:t>
      </w:r>
      <w:r w:rsidRPr="2D56844D" w:rsidR="0E107ACF">
        <w:rPr>
          <w:rFonts w:ascii="Calibri" w:hAnsi="Calibri" w:eastAsia="Calibri" w:cs="Calibri"/>
          <w:b w:val="1"/>
          <w:bCs w:val="1"/>
          <w:i w:val="0"/>
          <w:iCs w:val="0"/>
          <w:caps w:val="0"/>
          <w:smallCaps w:val="0"/>
          <w:noProof w:val="0"/>
          <w:color w:val="000000" w:themeColor="text1" w:themeTint="FF" w:themeShade="FF"/>
          <w:sz w:val="24"/>
          <w:szCs w:val="24"/>
          <w:lang w:val="en-US"/>
        </w:rPr>
        <w:t xml:space="preserve">Brown </w:t>
      </w:r>
      <w:proofErr w:type="gramStart"/>
      <w:r w:rsidRPr="2D56844D" w:rsidR="0E107ACF">
        <w:rPr>
          <w:rFonts w:ascii="Calibri" w:hAnsi="Calibri" w:eastAsia="Calibri" w:cs="Calibri"/>
          <w:b w:val="1"/>
          <w:bCs w:val="1"/>
          <w:i w:val="0"/>
          <w:iCs w:val="0"/>
          <w:caps w:val="0"/>
          <w:smallCaps w:val="0"/>
          <w:noProof w:val="0"/>
          <w:color w:val="000000" w:themeColor="text1" w:themeTint="FF" w:themeShade="FF"/>
          <w:sz w:val="24"/>
          <w:szCs w:val="24"/>
          <w:lang w:val="en-US"/>
        </w:rPr>
        <w:t>Rudnick</w:t>
      </w: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w:t>
      </w:r>
      <w:proofErr w:type="gramEnd"/>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s Orange County office as a corporate partner in the firm’s digital commerce group. She joins from the Los Angeles office of</w:t>
      </w:r>
      <w:r w:rsidRPr="2D56844D" w:rsidR="0E107ACF">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Irvine Anderson Kill</w:t>
      </w: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where she was a partner. Lennon provides clients with front-end advice on regulatory requirements related to fintech and crypto companies, including the Financial Crimes Enforcement Network (FinCEN), the Office of Foreign Assets Control (OFAC), the Commodity Futures Trading Commission (CFTC) and the Securities and Exchange Commission (SEC). She also handles SEC investigations and enforcement actions concerning the cryptocurrency space.</w:t>
      </w:r>
    </w:p>
    <w:p w:rsidR="0E107ACF" w:rsidP="2D56844D" w:rsidRDefault="0E107ACF" w14:paraId="72A68FC0" w14:textId="0D345F63">
      <w:pPr>
        <w:spacing w:line="450"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D56844D" w:rsidR="0E107ACF">
        <w:rPr>
          <w:rFonts w:ascii="Calibri" w:hAnsi="Calibri" w:eastAsia="Calibri" w:cs="Calibri"/>
          <w:b w:val="1"/>
          <w:bCs w:val="1"/>
          <w:i w:val="0"/>
          <w:iCs w:val="0"/>
          <w:caps w:val="0"/>
          <w:smallCaps w:val="0"/>
          <w:noProof w:val="0"/>
          <w:color w:val="000000" w:themeColor="text1" w:themeTint="FF" w:themeShade="FF"/>
          <w:sz w:val="24"/>
          <w:szCs w:val="24"/>
          <w:lang w:val="en-US"/>
        </w:rPr>
        <w:t>Perkins Coie</w:t>
      </w: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announced that </w:t>
      </w:r>
      <w:hyperlink r:id="R10f75e7766ea4b28">
        <w:r w:rsidRPr="2D56844D" w:rsidR="0E107ACF">
          <w:rPr>
            <w:rStyle w:val="Hyperlink"/>
            <w:rFonts w:ascii="Calibri" w:hAnsi="Calibri" w:eastAsia="Calibri" w:cs="Calibri"/>
            <w:b w:val="1"/>
            <w:bCs w:val="1"/>
            <w:i w:val="0"/>
            <w:iCs w:val="0"/>
            <w:caps w:val="0"/>
            <w:smallCaps w:val="0"/>
            <w:strike w:val="0"/>
            <w:dstrike w:val="0"/>
            <w:noProof w:val="0"/>
            <w:sz w:val="24"/>
            <w:szCs w:val="24"/>
            <w:lang w:val="en-US"/>
          </w:rPr>
          <w:t>Noah Bialos</w:t>
        </w:r>
      </w:hyperlink>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has joined the firm in San Francisco as a senior counsel in the privacy and security law practice. Bialos has experience advising on digital safety, platform regulation, risk governance and human rights. He has worked on the intersection of international law and digital technologies and has provided counsel on user-generated content, freedom of expression, responsible innovation and safety by design. He joins Perkins Coie from Twitter, where he served as a director and associate general counsel for safety, content and law enforcement.</w:t>
      </w:r>
    </w:p>
    <w:p w:rsidR="0E107ACF" w:rsidP="2D56844D" w:rsidRDefault="0E107ACF" w14:paraId="03466073" w14:textId="29B469D8">
      <w:pPr>
        <w:spacing w:line="450"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Insurance and civil litigation defense firm </w:t>
      </w:r>
      <w:r w:rsidRPr="2D56844D" w:rsidR="0E107ACF">
        <w:rPr>
          <w:rFonts w:ascii="Calibri" w:hAnsi="Calibri" w:eastAsia="Calibri" w:cs="Calibri"/>
          <w:b w:val="1"/>
          <w:bCs w:val="1"/>
          <w:i w:val="0"/>
          <w:iCs w:val="0"/>
          <w:caps w:val="0"/>
          <w:smallCaps w:val="0"/>
          <w:noProof w:val="0"/>
          <w:color w:val="000000" w:themeColor="text1" w:themeTint="FF" w:themeShade="FF"/>
          <w:sz w:val="24"/>
          <w:szCs w:val="24"/>
          <w:lang w:val="en-US"/>
        </w:rPr>
        <w:t>Tyson &amp; Mendes</w:t>
      </w: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announced the opening of its first office in California’s Central Valley, led by former </w:t>
      </w:r>
      <w:proofErr w:type="gramStart"/>
      <w:r w:rsidRPr="2D56844D" w:rsidR="0E107ACF">
        <w:rPr>
          <w:rFonts w:ascii="Calibri" w:hAnsi="Calibri" w:eastAsia="Calibri" w:cs="Calibri"/>
          <w:b w:val="1"/>
          <w:bCs w:val="1"/>
          <w:i w:val="0"/>
          <w:iCs w:val="0"/>
          <w:caps w:val="0"/>
          <w:smallCaps w:val="0"/>
          <w:noProof w:val="0"/>
          <w:color w:val="000000" w:themeColor="text1" w:themeTint="FF" w:themeShade="FF"/>
          <w:sz w:val="24"/>
          <w:szCs w:val="24"/>
          <w:lang w:val="en-US"/>
        </w:rPr>
        <w:t>Ericksen Arbuthnot</w:t>
      </w: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managing partner</w:t>
      </w:r>
      <w:proofErr w:type="gramEnd"/>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d3c16111d03f441e">
        <w:r w:rsidRPr="2D56844D" w:rsidR="0E107ACF">
          <w:rPr>
            <w:rStyle w:val="Hyperlink"/>
            <w:rFonts w:ascii="Calibri" w:hAnsi="Calibri" w:eastAsia="Calibri" w:cs="Calibri"/>
            <w:b w:val="1"/>
            <w:bCs w:val="1"/>
            <w:i w:val="0"/>
            <w:iCs w:val="0"/>
            <w:caps w:val="0"/>
            <w:smallCaps w:val="0"/>
            <w:strike w:val="0"/>
            <w:dstrike w:val="0"/>
            <w:noProof w:val="0"/>
            <w:sz w:val="24"/>
            <w:szCs w:val="24"/>
            <w:lang w:val="en-US"/>
          </w:rPr>
          <w:t>David Frankenberger</w:t>
        </w:r>
      </w:hyperlink>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a team of three other partners and trial attorneys: </w:t>
      </w:r>
      <w:hyperlink r:id="Raae3e5d99aee4f35">
        <w:r w:rsidRPr="2D56844D" w:rsidR="0E107ACF">
          <w:rPr>
            <w:rStyle w:val="Hyperlink"/>
            <w:rFonts w:ascii="Calibri" w:hAnsi="Calibri" w:eastAsia="Calibri" w:cs="Calibri"/>
            <w:b w:val="1"/>
            <w:bCs w:val="1"/>
            <w:i w:val="0"/>
            <w:iCs w:val="0"/>
            <w:caps w:val="0"/>
            <w:smallCaps w:val="0"/>
            <w:strike w:val="0"/>
            <w:dstrike w:val="0"/>
            <w:noProof w:val="0"/>
            <w:sz w:val="24"/>
            <w:szCs w:val="24"/>
            <w:lang w:val="en-US"/>
          </w:rPr>
          <w:t>Michael Lehman</w:t>
        </w:r>
      </w:hyperlink>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d4cee3ffd72f4e44">
        <w:r w:rsidRPr="2D56844D" w:rsidR="0E107ACF">
          <w:rPr>
            <w:rStyle w:val="Hyperlink"/>
            <w:rFonts w:ascii="Calibri" w:hAnsi="Calibri" w:eastAsia="Calibri" w:cs="Calibri"/>
            <w:b w:val="1"/>
            <w:bCs w:val="1"/>
            <w:i w:val="0"/>
            <w:iCs w:val="0"/>
            <w:caps w:val="0"/>
            <w:smallCaps w:val="0"/>
            <w:strike w:val="0"/>
            <w:dstrike w:val="0"/>
            <w:noProof w:val="0"/>
            <w:sz w:val="24"/>
            <w:szCs w:val="24"/>
            <w:lang w:val="en-US"/>
          </w:rPr>
          <w:t>Brett Runyon</w:t>
        </w:r>
      </w:hyperlink>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w:t>
      </w:r>
      <w:hyperlink r:id="R14b42627d1eb422f">
        <w:r w:rsidRPr="2D56844D" w:rsidR="0E107ACF">
          <w:rPr>
            <w:rStyle w:val="Hyperlink"/>
            <w:rFonts w:ascii="Calibri" w:hAnsi="Calibri" w:eastAsia="Calibri" w:cs="Calibri"/>
            <w:b w:val="1"/>
            <w:bCs w:val="1"/>
            <w:i w:val="0"/>
            <w:iCs w:val="0"/>
            <w:caps w:val="0"/>
            <w:smallCaps w:val="0"/>
            <w:strike w:val="0"/>
            <w:dstrike w:val="0"/>
            <w:noProof w:val="0"/>
            <w:sz w:val="24"/>
            <w:szCs w:val="24"/>
            <w:lang w:val="en-US"/>
          </w:rPr>
          <w:t>Carol Ann Seita</w:t>
        </w:r>
      </w:hyperlink>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Frankenberger brings 25 years of litigation and trial </w:t>
      </w:r>
      <w:proofErr w:type="gramStart"/>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experience</w:t>
      </w:r>
      <w:proofErr w:type="gramEnd"/>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his practice includes complex state court and federal court litigation involving motor vehicle accident defense; trucking defense; complex personal injury; premises liability; product liability, agricultural litigation and construction defect liability for both subcontractors and developers.</w:t>
      </w:r>
    </w:p>
    <w:p w:rsidR="0E107ACF" w:rsidP="2D56844D" w:rsidRDefault="0E107ACF" w14:paraId="29B075B7" w14:textId="62B75E68">
      <w:pPr>
        <w:spacing w:line="450"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Lehman has practiced civil litigation for more than 30 years and his trial experience includes representing private and public entities and individuals in cases involving torts, employment law, products liability, professional negligence, and civil rights, in both state and federal courts. With more than 28 years of practical litigation experience, Runyon has defended his clients in a variety of cases, representing both plaintiffs and defendants in mass tort actions, complex industrial fire cases, environmental and industrial contamination cases, inverse condemnation claims and catastrophic loss and construction defect. Seita has experience in matters involving personal injury, premises liability, employment law, subrogation defense, products liability, property damage and construction defect.</w:t>
      </w:r>
    </w:p>
    <w:p w:rsidR="0E107ACF" w:rsidP="2D56844D" w:rsidRDefault="0E107ACF" w14:paraId="51160BE3" w14:textId="216FA208">
      <w:pPr>
        <w:spacing w:line="450"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D56844D" w:rsidR="0E107ACF">
        <w:rPr>
          <w:rFonts w:ascii="Calibri" w:hAnsi="Calibri" w:eastAsia="Calibri" w:cs="Calibri"/>
          <w:b w:val="1"/>
          <w:bCs w:val="1"/>
          <w:i w:val="0"/>
          <w:iCs w:val="0"/>
          <w:caps w:val="0"/>
          <w:smallCaps w:val="0"/>
          <w:noProof w:val="0"/>
          <w:color w:val="000000" w:themeColor="text1" w:themeTint="FF" w:themeShade="FF"/>
          <w:sz w:val="24"/>
          <w:szCs w:val="24"/>
          <w:lang w:val="en-US"/>
        </w:rPr>
        <w:t>Wilmer Cutler Pickering Hale and Dorr</w:t>
      </w: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announced that </w:t>
      </w:r>
      <w:hyperlink r:id="Rb13202891be244a6">
        <w:r w:rsidRPr="2D56844D" w:rsidR="0E107ACF">
          <w:rPr>
            <w:rStyle w:val="Hyperlink"/>
            <w:rFonts w:ascii="Calibri" w:hAnsi="Calibri" w:eastAsia="Calibri" w:cs="Calibri"/>
            <w:b w:val="1"/>
            <w:bCs w:val="1"/>
            <w:i w:val="0"/>
            <w:iCs w:val="0"/>
            <w:caps w:val="0"/>
            <w:smallCaps w:val="0"/>
            <w:strike w:val="0"/>
            <w:dstrike w:val="0"/>
            <w:noProof w:val="0"/>
            <w:sz w:val="24"/>
            <w:szCs w:val="24"/>
            <w:lang w:val="en-US"/>
          </w:rPr>
          <w:t>Lauren Moore</w:t>
        </w:r>
      </w:hyperlink>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former associate counsel to President Joseph R. Biden, Jr., is joining the firm as a partner in both the Los Angeles and Washington, D.C., offices. Her practice will focus on matters at the intersection of law, business and public policy, including crisis management, strategic response and government enforcement. Earlier in her career, Moore worked as a senior associate in the firm’s government and regulatory litigation group. She is returning to the firm as a key member of the industry-leading strategic response and counseling group.</w:t>
      </w:r>
    </w:p>
    <w:p w:rsidR="0E107ACF" w:rsidP="2D56844D" w:rsidRDefault="0E107ACF" w14:paraId="0A48F1B2" w14:textId="009E69FD">
      <w:pPr>
        <w:spacing w:line="450"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D56844D" w:rsidR="0E107ACF">
        <w:rPr>
          <w:rFonts w:ascii="Calibri" w:hAnsi="Calibri" w:eastAsia="Calibri" w:cs="Calibri"/>
          <w:b w:val="1"/>
          <w:bCs w:val="1"/>
          <w:i w:val="0"/>
          <w:iCs w:val="0"/>
          <w:caps w:val="0"/>
          <w:smallCaps w:val="0"/>
          <w:noProof w:val="0"/>
          <w:color w:val="000000" w:themeColor="text1" w:themeTint="FF" w:themeShade="FF"/>
          <w:sz w:val="24"/>
          <w:szCs w:val="24"/>
          <w:lang w:val="en-US"/>
        </w:rPr>
        <w:t>Cooley</w:t>
      </w: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announced the opening of a second location in the greater Los Angeles area, expanding the firm’s presence from Santa Monica to downtown Los Angeles. Partner </w:t>
      </w:r>
      <w:hyperlink r:id="R603960a5dd154985">
        <w:r w:rsidRPr="2D56844D" w:rsidR="0E107ACF">
          <w:rPr>
            <w:rStyle w:val="Hyperlink"/>
            <w:rFonts w:ascii="Calibri" w:hAnsi="Calibri" w:eastAsia="Calibri" w:cs="Calibri"/>
            <w:b w:val="1"/>
            <w:bCs w:val="1"/>
            <w:i w:val="0"/>
            <w:iCs w:val="0"/>
            <w:caps w:val="0"/>
            <w:smallCaps w:val="0"/>
            <w:strike w:val="0"/>
            <w:dstrike w:val="0"/>
            <w:noProof w:val="0"/>
            <w:sz w:val="24"/>
            <w:szCs w:val="24"/>
            <w:lang w:val="en-US"/>
          </w:rPr>
          <w:t>John-Paul Motley</w:t>
        </w:r>
      </w:hyperlink>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who joined Cooley in March, will serve as the new office’s partner in charge. Downtown Los Angeles is Cooley’s 18th location worldwide and will open in a temporary space in the Wells Fargo Center at 355 S. Grand Ave., with plans to secure </w:t>
      </w:r>
      <w:proofErr w:type="gramStart"/>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a permanent</w:t>
      </w:r>
      <w:proofErr w:type="gramEnd"/>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space in the future.</w:t>
      </w:r>
    </w:p>
    <w:p w:rsidR="0E107ACF" w:rsidP="2D56844D" w:rsidRDefault="0E107ACF" w14:paraId="39928B1F" w14:textId="0FC10AB2">
      <w:pPr>
        <w:spacing w:line="450"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D56844D" w:rsidR="0E107ACF">
        <w:rPr>
          <w:rFonts w:ascii="Calibri" w:hAnsi="Calibri" w:eastAsia="Calibri" w:cs="Calibri"/>
          <w:b w:val="1"/>
          <w:bCs w:val="1"/>
          <w:i w:val="0"/>
          <w:iCs w:val="0"/>
          <w:caps w:val="0"/>
          <w:smallCaps w:val="0"/>
          <w:noProof w:val="0"/>
          <w:color w:val="000000" w:themeColor="text1" w:themeTint="FF" w:themeShade="FF"/>
          <w:sz w:val="24"/>
          <w:szCs w:val="24"/>
          <w:lang w:val="en-US"/>
        </w:rPr>
        <w:t>Greenberg Traurig</w:t>
      </w:r>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strengthens its real estate presence on the West Coast with the addition of </w:t>
      </w:r>
      <w:hyperlink r:id="R3e0ab2853be647b4">
        <w:r w:rsidRPr="2D56844D" w:rsidR="0E107ACF">
          <w:rPr>
            <w:rStyle w:val="Hyperlink"/>
            <w:rFonts w:ascii="Calibri" w:hAnsi="Calibri" w:eastAsia="Calibri" w:cs="Calibri"/>
            <w:b w:val="1"/>
            <w:bCs w:val="1"/>
            <w:i w:val="0"/>
            <w:iCs w:val="0"/>
            <w:caps w:val="0"/>
            <w:smallCaps w:val="0"/>
            <w:strike w:val="0"/>
            <w:dstrike w:val="0"/>
            <w:noProof w:val="0"/>
            <w:sz w:val="24"/>
            <w:szCs w:val="24"/>
            <w:lang w:val="en-US"/>
          </w:rPr>
          <w:t>Cherie S. Raidy</w:t>
        </w:r>
      </w:hyperlink>
      <w:r w:rsidRPr="2D56844D" w:rsidR="0E107AC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as a shareholder in the firm’s Orange County office. Raidy focuses her practice on real estate finance matters, with a client base that includes large banks and financial institutions, real estate developers, and public and private corporations with diversified real estate assets. She also specializes in counseling institutional and private capital clients on their real estate investments and the management of their real estate portfolios. Raidy advises on the acquisition and disposition, and related financings, of hotels, office buildings and headquarter leases.</w:t>
      </w:r>
    </w:p>
    <w:p w:rsidR="0E107ACF" w:rsidP="2D56844D" w:rsidRDefault="0E107ACF" w14:paraId="4F095A4C" w14:textId="356795A8">
      <w:pPr>
        <w:pStyle w:val="Normal"/>
        <w:rPr>
          <w:sz w:val="24"/>
          <w:szCs w:val="24"/>
        </w:rPr>
      </w:pPr>
      <w:hyperlink r:id="Rdc7e7a3597d3479d">
        <w:r w:rsidRPr="2D56844D" w:rsidR="0E107ACF">
          <w:rPr>
            <w:rStyle w:val="Hyperlink"/>
            <w:sz w:val="24"/>
            <w:szCs w:val="24"/>
          </w:rPr>
          <w:t>https://www.law.com/therecorder/2022/09/19/on-the-move-tracking-the-ins-and-outs-of-california-lawyers-222/</w:t>
        </w:r>
      </w:hyperlink>
      <w:r w:rsidRPr="2D56844D" w:rsidR="0E107ACF">
        <w:rPr>
          <w:sz w:val="24"/>
          <w:szCs w:val="24"/>
        </w:rPr>
        <w:t xml:space="preserve">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093CFC"/>
    <w:rsid w:val="0E107ACF"/>
    <w:rsid w:val="2015612E"/>
    <w:rsid w:val="20B631ED"/>
    <w:rsid w:val="2D56844D"/>
    <w:rsid w:val="367A6170"/>
    <w:rsid w:val="5B093CFC"/>
    <w:rsid w:val="5EE4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3CFC"/>
  <w15:chartTrackingRefBased/>
  <w15:docId w15:val="{26668178-CD70-425F-8B3F-6BC7B9B653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85262bf8a4f64653" Type="http://schemas.openxmlformats.org/officeDocument/2006/relationships/image" Target="/media/image2.png"/><Relationship Id="R6d49d54b54c4493f" Type="http://schemas.openxmlformats.org/officeDocument/2006/relationships/hyperlink" Target="https://brownrudnick.com/people/hailey-lennon" TargetMode="External"/><Relationship Id="R603960a5dd154985" Type="http://schemas.openxmlformats.org/officeDocument/2006/relationships/hyperlink" Target="https://www.cooley.com/people/john-paul-motley" TargetMode="External"/><Relationship Id="rId8" Type="http://schemas.openxmlformats.org/officeDocument/2006/relationships/customXml" Target="../customXml/item3.xml"/><Relationship Id="rId3" Type="http://schemas.openxmlformats.org/officeDocument/2006/relationships/webSettings" Target="webSettings.xml"/><Relationship Id="Rd3c16111d03f441e" Type="http://schemas.openxmlformats.org/officeDocument/2006/relationships/hyperlink" Target="https://www.tysonmendes.com/attorneys/david-frankenberger/" TargetMode="External"/><Relationship Id="R10f75e7766ea4b28" Type="http://schemas.openxmlformats.org/officeDocument/2006/relationships/hyperlink" Target="https://www.perkinscoie.com/en/professionals/noah-bialos.html" TargetMode="External"/><Relationship Id="Rd4cee3ffd72f4e44" Type="http://schemas.openxmlformats.org/officeDocument/2006/relationships/hyperlink" Target="https://www.tysonmendes.com/attorneys/brett-runyon/" TargetMode="External"/><Relationship Id="R3e0ab2853be647b4" Type="http://schemas.openxmlformats.org/officeDocument/2006/relationships/hyperlink" Target="https://www.gtlaw.com/en/professionals/r/raidy-cherie-s"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b13202891be244a6" Type="http://schemas.openxmlformats.org/officeDocument/2006/relationships/hyperlink" Target="https://www.wilmerhale.com/en/people/lauren-moore" TargetMode="External"/><Relationship Id="rId6" Type="http://schemas.openxmlformats.org/officeDocument/2006/relationships/customXml" Target="../customXml/item1.xml"/><Relationship Id="rId5" Type="http://schemas.openxmlformats.org/officeDocument/2006/relationships/theme" Target="theme/theme1.xml"/><Relationship Id="Re17605aeed434218" Type="http://schemas.openxmlformats.org/officeDocument/2006/relationships/image" Target="/media/image.png"/><Relationship Id="Raae3e5d99aee4f35" Type="http://schemas.openxmlformats.org/officeDocument/2006/relationships/hyperlink" Target="https://www.tysonmendes.com/attorneys/michael-lehman/" TargetMode="External"/><Relationship Id="R14b42627d1eb422f" Type="http://schemas.openxmlformats.org/officeDocument/2006/relationships/hyperlink" Target="https://www.tysonmendes.com/attorneys/carol-ann-seita/" TargetMode="External"/><Relationship Id="Rc9f2c88fb9c3428b" Type="http://schemas.openxmlformats.org/officeDocument/2006/relationships/hyperlink" Target="https://www.sidley.com/en/people/l/lu-james" TargetMode="External"/><Relationship Id="Rdc7e7a3597d3479d" Type="http://schemas.openxmlformats.org/officeDocument/2006/relationships/hyperlink" Target="https://www.law.com/therecorder/2022/09/19/on-the-move-tracking-the-ins-and-outs-of-california-lawyers-222/"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13A207555EE40BA51FAFA8527EE86" ma:contentTypeVersion="16" ma:contentTypeDescription="Create a new document." ma:contentTypeScope="" ma:versionID="126cede1317d87bd79f73309de734870">
  <xsd:schema xmlns:xsd="http://www.w3.org/2001/XMLSchema" xmlns:xs="http://www.w3.org/2001/XMLSchema" xmlns:p="http://schemas.microsoft.com/office/2006/metadata/properties" xmlns:ns2="28cf6473-b342-4652-b572-a885871b8464" xmlns:ns3="4a3e6878-38c6-4e4a-bb63-1635fe2efcfa" targetNamespace="http://schemas.microsoft.com/office/2006/metadata/properties" ma:root="true" ma:fieldsID="d249efe89fcc95abbf2a3f61ebc2a2c9" ns2:_="" ns3:_="">
    <xsd:import namespace="28cf6473-b342-4652-b572-a885871b8464"/>
    <xsd:import namespace="4a3e6878-38c6-4e4a-bb63-1635fe2efc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f6473-b342-4652-b572-a885871b8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6c0682-0141-4040-9aa0-fe84b8a343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3e6878-38c6-4e4a-bb63-1635fe2efc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5245e-c2cf-446d-8343-cf8d5d583bf2}" ma:internalName="TaxCatchAll" ma:showField="CatchAllData" ma:web="4a3e6878-38c6-4e4a-bb63-1635fe2efc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3e6878-38c6-4e4a-bb63-1635fe2efcfa" xsi:nil="true"/>
    <lcf76f155ced4ddcb4097134ff3c332f xmlns="28cf6473-b342-4652-b572-a885871b8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33B997-FCEA-48C9-8153-758D8B4EC52F}"/>
</file>

<file path=customXml/itemProps2.xml><?xml version="1.0" encoding="utf-8"?>
<ds:datastoreItem xmlns:ds="http://schemas.openxmlformats.org/officeDocument/2006/customXml" ds:itemID="{55CE287D-456E-4316-B6B2-BE0510FEBFF5}"/>
</file>

<file path=customXml/itemProps3.xml><?xml version="1.0" encoding="utf-8"?>
<ds:datastoreItem xmlns:ds="http://schemas.openxmlformats.org/officeDocument/2006/customXml" ds:itemID="{833A410A-8933-4B94-9899-4080EA5163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Hauck</dc:creator>
  <cp:keywords/>
  <dc:description/>
  <cp:lastModifiedBy>Corinne Hauck</cp:lastModifiedBy>
  <dcterms:created xsi:type="dcterms:W3CDTF">2022-09-20T16:39:03Z</dcterms:created>
  <dcterms:modified xsi:type="dcterms:W3CDTF">2022-09-20T16:42:29Z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0x010100DBB13A207555EE40BA51FAFA8527EE86</vt:lpwstr>
  </property>
</Properties>
</file>